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auto"/>
          <w:kern w:val="0"/>
          <w:szCs w:val="21"/>
          <w:highlight w:val="none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auto"/>
          <w:kern w:val="0"/>
          <w:szCs w:val="21"/>
          <w:highlight w:val="none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auto"/>
          <w:kern w:val="0"/>
          <w:szCs w:val="21"/>
          <w:highlight w:val="none"/>
          <w:lang w:val="en-US" w:eastAsia="zh-CN"/>
        </w:rPr>
        <w:t>3-7</w:t>
      </w:r>
    </w:p>
    <w:p>
      <w:pPr>
        <w:spacing w:afterLines="100"/>
        <w:jc w:val="center"/>
        <w:rPr>
          <w:rFonts w:hint="eastAsia" w:cs="宋体" w:asciiTheme="minorEastAsia" w:hAnsiTheme="minorEastAsia" w:eastAsiaTheme="minorEastAsia"/>
          <w:b/>
          <w:bCs/>
          <w:color w:val="auto"/>
          <w:kern w:val="0"/>
          <w:sz w:val="32"/>
          <w:highlight w:val="none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auto"/>
          <w:kern w:val="0"/>
          <w:sz w:val="32"/>
          <w:highlight w:val="none"/>
          <w:lang w:val="en-US" w:eastAsia="zh-CN"/>
        </w:rPr>
        <w:t>移动式压力容器检验设备统计表——甲类（RD5）</w:t>
      </w:r>
    </w:p>
    <w:p>
      <w:pPr>
        <w:spacing w:afterLines="50"/>
        <w:jc w:val="left"/>
        <w:rPr>
          <w:rFonts w:hint="eastAsia" w:asciiTheme="minorEastAsia" w:hAnsiTheme="minorEastAsia" w:eastAsiaTheme="minorEastAsia"/>
          <w:bCs/>
          <w:color w:val="auto"/>
          <w:szCs w:val="21"/>
          <w:highlight w:val="none"/>
        </w:rPr>
      </w:pPr>
      <w:r>
        <w:rPr>
          <w:rFonts w:hint="eastAsia" w:asciiTheme="minorEastAsia" w:hAnsiTheme="minorEastAsia" w:eastAsiaTheme="minorEastAsia"/>
          <w:bCs/>
          <w:color w:val="auto"/>
          <w:szCs w:val="21"/>
          <w:highlight w:val="none"/>
        </w:rPr>
        <w:t>检验</w:t>
      </w:r>
      <w:r>
        <w:rPr>
          <w:rFonts w:asciiTheme="minorEastAsia" w:hAnsiTheme="minorEastAsia" w:eastAsiaTheme="minorEastAsia"/>
          <w:bCs/>
          <w:color w:val="auto"/>
          <w:szCs w:val="21"/>
          <w:highlight w:val="none"/>
        </w:rPr>
        <w:t>场地地址</w:t>
      </w:r>
      <w:r>
        <w:rPr>
          <w:rFonts w:hint="eastAsia" w:asciiTheme="minorEastAsia" w:hAnsiTheme="minorEastAsia" w:eastAsiaTheme="minorEastAsia"/>
          <w:bCs/>
          <w:color w:val="auto"/>
          <w:szCs w:val="21"/>
          <w:highlight w:val="none"/>
        </w:rPr>
        <w:t>:</w:t>
      </w:r>
    </w:p>
    <w:tbl>
      <w:tblPr>
        <w:tblStyle w:val="4"/>
        <w:tblW w:w="8945" w:type="dxa"/>
        <w:tblInd w:w="1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6300"/>
        <w:gridCol w:w="979"/>
        <w:gridCol w:w="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6300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  <w:t>所需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  <w:lang w:val="en-US" w:eastAsia="zh-CN"/>
              </w:rPr>
              <w:t>检验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  <w:lang w:eastAsia="zh-CN"/>
              </w:rPr>
              <w:t>名称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  <w:lang w:eastAsia="zh-CN"/>
              </w:rPr>
              <w:t>核准项目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  <w:t>数量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  <w:lang w:val="en-US" w:eastAsia="zh-CN"/>
              </w:rPr>
              <w:t>要求</w:t>
            </w:r>
          </w:p>
        </w:tc>
        <w:tc>
          <w:tcPr>
            <w:tcW w:w="97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RD5</w:t>
            </w:r>
          </w:p>
        </w:tc>
        <w:tc>
          <w:tcPr>
            <w:tcW w:w="845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highlight w:val="none"/>
                <w:lang w:eastAsia="zh-CN"/>
              </w:rPr>
              <w:t>承压类基本配置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要求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highlight w:val="none"/>
              </w:rPr>
              <w:t>静电电阻测量仪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highlight w:val="none"/>
              </w:rPr>
              <w:t>可</w:t>
            </w:r>
            <w:r>
              <w:rPr>
                <w:bCs/>
                <w:color w:val="auto"/>
                <w:spacing w:val="4"/>
                <w:highlight w:val="none"/>
              </w:rPr>
              <w:t>燃气体分析设备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highlight w:val="none"/>
              </w:rPr>
              <w:t>TOFD检测设备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highlight w:val="none"/>
              </w:rPr>
              <w:t>测</w:t>
            </w:r>
            <w:r>
              <w:rPr>
                <w:bCs/>
                <w:color w:val="auto"/>
                <w:spacing w:val="4"/>
                <w:highlight w:val="none"/>
              </w:rPr>
              <w:t>氧仪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spacing w:val="4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highlight w:val="none"/>
              </w:rPr>
              <w:t>液压试验</w:t>
            </w:r>
            <w:r>
              <w:rPr>
                <w:rFonts w:hint="eastAsia"/>
                <w:bCs/>
                <w:color w:val="auto"/>
                <w:spacing w:val="4"/>
                <w:highlight w:val="none"/>
                <w:lang w:eastAsia="zh-CN"/>
              </w:rPr>
              <w:t>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spacing w:val="4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highlight w:val="none"/>
              </w:rPr>
              <w:t>气压试验</w:t>
            </w:r>
            <w:r>
              <w:rPr>
                <w:rFonts w:hint="eastAsia"/>
                <w:bCs/>
                <w:color w:val="auto"/>
                <w:spacing w:val="4"/>
                <w:highlight w:val="none"/>
                <w:lang w:eastAsia="zh-CN"/>
              </w:rPr>
              <w:t>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spacing w:val="4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highlight w:val="none"/>
              </w:rPr>
              <w:t>残液回收</w:t>
            </w:r>
            <w:r>
              <w:rPr>
                <w:rFonts w:hint="eastAsia"/>
                <w:bCs/>
                <w:color w:val="auto"/>
                <w:spacing w:val="4"/>
                <w:highlight w:val="none"/>
                <w:lang w:eastAsia="zh-CN"/>
              </w:rPr>
              <w:t>、处理及置换</w:t>
            </w:r>
            <w:r>
              <w:rPr>
                <w:rFonts w:hint="eastAsia"/>
                <w:bCs/>
                <w:color w:val="auto"/>
                <w:spacing w:val="4"/>
                <w:highlight w:val="none"/>
              </w:rPr>
              <w:t>装置</w:t>
            </w:r>
            <w:r>
              <w:rPr>
                <w:rFonts w:hint="eastAsia"/>
                <w:bCs/>
                <w:color w:val="auto"/>
                <w:spacing w:val="4"/>
                <w:highlight w:val="none"/>
                <w:lang w:eastAsia="zh-CN"/>
              </w:rPr>
              <w:t>（包括蒸汽吹扫）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spacing w:val="4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highlight w:val="none"/>
                <w:lang w:val="en-US" w:eastAsia="zh-CN"/>
              </w:rPr>
              <w:t>除锈和喷漆设备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spacing w:val="4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highlight w:val="none"/>
              </w:rPr>
              <w:t>抽真空</w:t>
            </w:r>
            <w:r>
              <w:rPr>
                <w:rFonts w:hint="eastAsia"/>
                <w:bCs/>
                <w:color w:val="auto"/>
                <w:spacing w:val="4"/>
                <w:highlight w:val="none"/>
                <w:lang w:eastAsia="zh-CN"/>
              </w:rPr>
              <w:t>或</w:t>
            </w:r>
            <w:r>
              <w:rPr>
                <w:rFonts w:hint="eastAsia"/>
                <w:bCs/>
                <w:color w:val="auto"/>
                <w:spacing w:val="4"/>
                <w:highlight w:val="none"/>
              </w:rPr>
              <w:t>充氮置换装置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spacing w:val="4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highlight w:val="none"/>
              </w:rPr>
              <w:t>气密性试验装置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spacing w:val="4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highlight w:val="none"/>
                <w:lang w:eastAsia="zh-CN"/>
              </w:rPr>
              <w:t>真空度测试仪器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spacing w:val="4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highlight w:val="none"/>
                <w:lang w:eastAsia="zh-CN"/>
              </w:rPr>
              <w:t>安全阀校验装置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spacing w:val="4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highlight w:val="none"/>
                <w:lang w:eastAsia="zh-CN"/>
              </w:rPr>
              <w:t>紧急切断阀校验装置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spacing w:val="4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highlight w:val="none"/>
                <w:lang w:eastAsia="zh-CN"/>
              </w:rPr>
              <w:t>液面计校验装置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default" w:asciiTheme="minorEastAsia" w:hAnsiTheme="minorEastAsia" w:eastAsiaTheme="minorEastAsia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0" w:lineRule="atLeast"/>
              <w:jc w:val="left"/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Cs w:val="24"/>
                <w:highlight w:val="none"/>
              </w:rPr>
              <w:t>检验场地和</w:t>
            </w:r>
            <w:r>
              <w:rPr>
                <w:rFonts w:ascii="Times New Roman" w:hAnsi="Times New Roman" w:eastAsia="宋体"/>
                <w:color w:val="auto"/>
                <w:szCs w:val="24"/>
                <w:highlight w:val="none"/>
              </w:rPr>
              <w:t>设施</w:t>
            </w:r>
            <w:r>
              <w:rPr>
                <w:rFonts w:hint="eastAsia" w:ascii="Times New Roman" w:hAnsi="Times New Roman" w:eastAsia="宋体"/>
                <w:color w:val="auto"/>
                <w:szCs w:val="24"/>
                <w:highlight w:val="none"/>
              </w:rPr>
              <w:t>（指提供能源、照明、环保、消防、</w:t>
            </w:r>
            <w:r>
              <w:rPr>
                <w:rFonts w:ascii="Times New Roman" w:hAnsi="Times New Roman" w:eastAsia="宋体"/>
                <w:color w:val="auto"/>
                <w:szCs w:val="24"/>
                <w:highlight w:val="none"/>
              </w:rPr>
              <w:t>预</w:t>
            </w:r>
            <w:r>
              <w:rPr>
                <w:rFonts w:hint="eastAsia" w:ascii="Times New Roman" w:hAnsi="Times New Roman" w:eastAsia="宋体"/>
                <w:color w:val="auto"/>
                <w:szCs w:val="24"/>
                <w:highlight w:val="none"/>
              </w:rPr>
              <w:t>处理</w:t>
            </w:r>
            <w:r>
              <w:rPr>
                <w:rFonts w:ascii="Times New Roman" w:hAnsi="Times New Roman" w:eastAsia="宋体"/>
                <w:color w:val="auto"/>
                <w:szCs w:val="24"/>
                <w:highlight w:val="none"/>
              </w:rPr>
              <w:t>、后处理</w:t>
            </w:r>
            <w:r>
              <w:rPr>
                <w:rFonts w:hint="eastAsia" w:ascii="Times New Roman" w:hAnsi="Times New Roman" w:eastAsia="宋体"/>
                <w:color w:val="auto"/>
                <w:szCs w:val="24"/>
                <w:highlight w:val="none"/>
              </w:rPr>
              <w:t>、</w:t>
            </w:r>
            <w:r>
              <w:rPr>
                <w:rFonts w:ascii="Times New Roman" w:hAnsi="Times New Roman" w:eastAsia="宋体"/>
                <w:color w:val="auto"/>
                <w:szCs w:val="24"/>
                <w:highlight w:val="none"/>
              </w:rPr>
              <w:t>吊装、运输</w:t>
            </w:r>
            <w:r>
              <w:rPr>
                <w:rFonts w:hint="eastAsia" w:ascii="Times New Roman" w:hAnsi="Times New Roman" w:eastAsia="宋体"/>
                <w:color w:val="auto"/>
                <w:szCs w:val="24"/>
                <w:highlight w:val="none"/>
              </w:rPr>
              <w:t>等功能的装备，</w:t>
            </w:r>
            <w:r>
              <w:rPr>
                <w:rFonts w:ascii="Times New Roman" w:hAnsi="Times New Roman" w:eastAsia="宋体"/>
                <w:color w:val="auto"/>
                <w:szCs w:val="24"/>
                <w:highlight w:val="none"/>
              </w:rPr>
              <w:t>下</w:t>
            </w:r>
            <w:r>
              <w:rPr>
                <w:rFonts w:hint="eastAsia" w:ascii="Times New Roman" w:hAnsi="Times New Roman" w:eastAsia="宋体"/>
                <w:color w:val="auto"/>
                <w:szCs w:val="24"/>
                <w:highlight w:val="none"/>
              </w:rPr>
              <w:t>同</w:t>
            </w:r>
            <w:r>
              <w:rPr>
                <w:rFonts w:ascii="Times New Roman" w:hAnsi="Times New Roman" w:eastAsia="宋体"/>
                <w:color w:val="auto"/>
                <w:szCs w:val="24"/>
                <w:highlight w:val="none"/>
              </w:rPr>
              <w:t>）</w:t>
            </w:r>
            <w:r>
              <w:rPr>
                <w:rFonts w:hint="eastAsia" w:ascii="Times New Roman" w:hAnsi="Times New Roman" w:eastAsia="宋体"/>
                <w:color w:val="auto"/>
                <w:szCs w:val="24"/>
                <w:highlight w:val="none"/>
              </w:rPr>
              <w:t>均应</w:t>
            </w:r>
            <w:r>
              <w:rPr>
                <w:rFonts w:ascii="Times New Roman" w:hAnsi="Times New Roman" w:eastAsia="宋体"/>
                <w:color w:val="auto"/>
                <w:szCs w:val="24"/>
                <w:highlight w:val="none"/>
              </w:rPr>
              <w:t>当满足检验</w:t>
            </w:r>
            <w:r>
              <w:rPr>
                <w:rFonts w:hint="eastAsia" w:ascii="Times New Roman" w:hAnsi="Times New Roman" w:eastAsia="宋体"/>
                <w:color w:val="auto"/>
                <w:szCs w:val="24"/>
                <w:highlight w:val="none"/>
              </w:rPr>
              <w:t>工</w:t>
            </w:r>
            <w:r>
              <w:rPr>
                <w:rFonts w:ascii="Times New Roman" w:hAnsi="Times New Roman" w:eastAsia="宋体"/>
                <w:color w:val="auto"/>
                <w:szCs w:val="24"/>
                <w:highlight w:val="none"/>
              </w:rPr>
              <w:t>作需要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，且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有污水处理措施的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</w:rPr>
              <w:t>检验场地≥1500m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  <w:vertAlign w:val="superscript"/>
              </w:rPr>
              <w:t>2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</w:rPr>
              <w:t>可租赁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auto"/>
                <w:szCs w:val="21"/>
                <w:highlight w:val="none"/>
              </w:rPr>
            </w:pPr>
          </w:p>
        </w:tc>
      </w:tr>
    </w:tbl>
    <w:p>
      <w:pPr>
        <w:spacing w:line="360" w:lineRule="auto"/>
        <w:rPr>
          <w:rFonts w:cs="宋体" w:asciiTheme="minorEastAsia" w:hAnsiTheme="minorEastAsia" w:eastAsiaTheme="minorEastAsia"/>
          <w:color w:val="auto"/>
          <w:kern w:val="0"/>
          <w:szCs w:val="21"/>
          <w:highlight w:val="none"/>
        </w:rPr>
      </w:pPr>
    </w:p>
    <w:tbl>
      <w:tblPr>
        <w:tblStyle w:val="4"/>
        <w:tblW w:w="89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962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Cs w:val="21"/>
                <w:highlight w:val="none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cs="宋体" w:asciiTheme="minorEastAsia" w:hAnsiTheme="minorEastAsia" w:eastAsiaTheme="minorEastAsia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kern w:val="0"/>
          <w:szCs w:val="21"/>
          <w:highlight w:val="none"/>
        </w:rPr>
        <w:t>注1</w:t>
      </w:r>
      <w:r>
        <w:rPr>
          <w:rFonts w:cs="宋体" w:asciiTheme="minorEastAsia" w:hAnsiTheme="minorEastAsia" w:eastAsiaTheme="minorEastAsia"/>
          <w:color w:val="auto"/>
          <w:kern w:val="0"/>
          <w:szCs w:val="21"/>
          <w:highlight w:val="none"/>
        </w:rPr>
        <w:t>：</w:t>
      </w:r>
      <w:r>
        <w:rPr>
          <w:rFonts w:hint="eastAsia" w:cs="宋体" w:asciiTheme="minorEastAsia" w:hAnsiTheme="minorEastAsia" w:eastAsiaTheme="minorEastAsia"/>
          <w:color w:val="auto"/>
          <w:kern w:val="0"/>
          <w:szCs w:val="21"/>
          <w:highlight w:val="none"/>
        </w:rPr>
        <w:t>当</w:t>
      </w:r>
      <w:r>
        <w:rPr>
          <w:rFonts w:cs="宋体" w:asciiTheme="minorEastAsia" w:hAnsiTheme="minorEastAsia" w:eastAsiaTheme="minorEastAsia"/>
          <w:color w:val="auto"/>
          <w:kern w:val="0"/>
          <w:szCs w:val="21"/>
          <w:highlight w:val="none"/>
        </w:rPr>
        <w:t>有多个</w:t>
      </w:r>
      <w:r>
        <w:rPr>
          <w:rFonts w:hint="eastAsia" w:cs="宋体" w:asciiTheme="minorEastAsia" w:hAnsiTheme="minorEastAsia" w:eastAsiaTheme="minorEastAsia"/>
          <w:color w:val="auto"/>
          <w:kern w:val="0"/>
          <w:szCs w:val="21"/>
          <w:highlight w:val="none"/>
          <w:lang w:eastAsia="zh-CN"/>
        </w:rPr>
        <w:t>检验</w:t>
      </w:r>
      <w:r>
        <w:rPr>
          <w:rFonts w:cs="宋体" w:asciiTheme="minorEastAsia" w:hAnsiTheme="minorEastAsia" w:eastAsiaTheme="minorEastAsia"/>
          <w:color w:val="auto"/>
          <w:kern w:val="0"/>
          <w:szCs w:val="21"/>
          <w:highlight w:val="none"/>
        </w:rPr>
        <w:t>场地时，每个场地</w:t>
      </w:r>
      <w:r>
        <w:rPr>
          <w:rFonts w:hint="eastAsia" w:cs="宋体" w:asciiTheme="minorEastAsia" w:hAnsiTheme="minorEastAsia" w:eastAsiaTheme="minorEastAsia"/>
          <w:color w:val="auto"/>
          <w:kern w:val="0"/>
          <w:szCs w:val="21"/>
          <w:highlight w:val="none"/>
          <w:lang w:eastAsia="zh-CN"/>
        </w:rPr>
        <w:t>设备情况</w:t>
      </w:r>
      <w:r>
        <w:rPr>
          <w:rFonts w:cs="宋体" w:asciiTheme="minorEastAsia" w:hAnsiTheme="minorEastAsia" w:eastAsiaTheme="minorEastAsia"/>
          <w:color w:val="auto"/>
          <w:kern w:val="0"/>
          <w:szCs w:val="21"/>
          <w:highlight w:val="none"/>
        </w:rPr>
        <w:t>单独填写</w:t>
      </w:r>
      <w:r>
        <w:rPr>
          <w:rFonts w:hint="eastAsia" w:cs="宋体" w:asciiTheme="minorEastAsia" w:hAnsiTheme="minorEastAsia" w:eastAsiaTheme="minorEastAsia"/>
          <w:color w:val="auto"/>
          <w:kern w:val="0"/>
          <w:szCs w:val="21"/>
          <w:highlight w:val="none"/>
        </w:rPr>
        <w:t>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A-6/1-17</w:t>
    </w:r>
    <w:bookmarkStart w:id="0" w:name="_GoBack"/>
    <w:bookmarkEnd w:id="0"/>
    <w:r>
      <w:rPr>
        <w:rFonts w:hint="eastAsia"/>
        <w:color w:val="000000"/>
      </w:rPr>
      <w:t xml:space="preserve">           </w:t>
    </w:r>
    <w:r>
      <w:rPr>
        <w:rFonts w:hint="eastAsia"/>
        <w:color w:val="000000"/>
        <w:lang w:val="en-US" w:eastAsia="zh-CN"/>
      </w:rPr>
      <w:t xml:space="preserve">       </w:t>
    </w:r>
    <w:r>
      <w:rPr>
        <w:rFonts w:hint="eastAsia"/>
      </w:rPr>
      <w:t>中国特种设备检验协会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1207606"/>
    <w:rsid w:val="02D35787"/>
    <w:rsid w:val="0A7A1704"/>
    <w:rsid w:val="1044706D"/>
    <w:rsid w:val="110F1B41"/>
    <w:rsid w:val="137032FE"/>
    <w:rsid w:val="161B70BA"/>
    <w:rsid w:val="1DE62F71"/>
    <w:rsid w:val="207C0B22"/>
    <w:rsid w:val="22957A2D"/>
    <w:rsid w:val="2CA415F0"/>
    <w:rsid w:val="328A4D03"/>
    <w:rsid w:val="356179D5"/>
    <w:rsid w:val="38187D02"/>
    <w:rsid w:val="3A532EB3"/>
    <w:rsid w:val="3BC54D5C"/>
    <w:rsid w:val="3EFD2768"/>
    <w:rsid w:val="3F9050CD"/>
    <w:rsid w:val="487875C4"/>
    <w:rsid w:val="493C60D4"/>
    <w:rsid w:val="4A217819"/>
    <w:rsid w:val="4B340257"/>
    <w:rsid w:val="4D07234B"/>
    <w:rsid w:val="539A4046"/>
    <w:rsid w:val="5430069C"/>
    <w:rsid w:val="581F0B49"/>
    <w:rsid w:val="5F4E4417"/>
    <w:rsid w:val="61C83F37"/>
    <w:rsid w:val="64363680"/>
    <w:rsid w:val="6CAB462D"/>
    <w:rsid w:val="6CAB6AC8"/>
    <w:rsid w:val="70A453BC"/>
    <w:rsid w:val="73B448E6"/>
    <w:rsid w:val="74973847"/>
    <w:rsid w:val="74DB3C24"/>
    <w:rsid w:val="75E77ED4"/>
    <w:rsid w:val="782720CF"/>
    <w:rsid w:val="7B8701FD"/>
    <w:rsid w:val="7DBF7936"/>
    <w:rsid w:val="7E030D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1</Pages>
  <Words>289</Words>
  <Characters>303</Characters>
  <Lines>3</Lines>
  <Paragraphs>1</Paragraphs>
  <TotalTime>0</TotalTime>
  <ScaleCrop>false</ScaleCrop>
  <LinksUpToDate>false</LinksUpToDate>
  <CharactersWithSpaces>395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2022-08-18T08:18:04Z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FE601BE46425424B8EADDDB2D5217A21</vt:lpwstr>
  </property>
</Properties>
</file>